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0B5C" w14:textId="28641BA8" w:rsidR="00E72EAB" w:rsidRDefault="00735F99"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Порядка 12 </w:t>
      </w:r>
      <w:proofErr w:type="spellStart"/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тыс</w:t>
      </w:r>
      <w:proofErr w:type="spellEnd"/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рабочих мест будет создано в рамках комплексного освоения территории «</w:t>
      </w:r>
      <w:proofErr w:type="spellStart"/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Азовстали</w:t>
      </w:r>
      <w:proofErr w:type="spellEnd"/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»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</w:rPr>
        <w:br/>
      </w:r>
      <w:bookmarkStart w:id="0" w:name="_GoBack"/>
      <w:r>
        <w:rPr>
          <w:rFonts w:ascii="Segoe UI" w:hAnsi="Segoe UI" w:cs="Segoe UI"/>
          <w:color w:val="000000"/>
          <w:shd w:val="clear" w:color="auto" w:fill="FFFFFF"/>
        </w:rPr>
        <w:t>21 марта Михаил Лабудин, первый заместитель Председателя Правления Государственного Концерна «Корпорация развития Донбасса» и Наталия Еременко, заместитель Генерального директора ППК «Фонд развития территорий» встретились для обсуждения вопроса передачи имущества, расположенного на территории промышленной площадки ЧАО «Металлургический комбинат «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Азовсталь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».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Поскольку решением коллегиального органа при Правительстве РФ была одобрена заявка ГК «Корпорации развития Донбасса» на управление площадкой ЧАО «Металлургический комбинат «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Азовсталь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» на территории бывшего завода Корпорация приступит к созданию индустриального парка, промышленного технопарка и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экопромышленнго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парка.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Благодаря реализации проектов, на территорию «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Азовстали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» зайдет порядка 30 резидентов (промышленных предприятий), будет создано более 12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тыс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рабочих мест, а сумма налоговых отчислений в госбюджет составит более 550 млн рублей.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Кроме того, уже в первом полугодии, в рамках конкурса среди ведущих экспертных организаций в области проектирования, строительства и урбанистики, с привлечением общественности будет определена архитектурная концепция комплексного освоения территории «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Азовсталь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».</w:t>
      </w:r>
      <w:bookmarkEnd w:id="0"/>
    </w:p>
    <w:sectPr w:rsidR="00E7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89"/>
    <w:rsid w:val="00735F99"/>
    <w:rsid w:val="00C61A89"/>
    <w:rsid w:val="00E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C38C-48D6-4161-B3CE-B63A2154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2023-03-22T06:55:00Z</dcterms:created>
  <dcterms:modified xsi:type="dcterms:W3CDTF">2023-03-22T06:56:00Z</dcterms:modified>
</cp:coreProperties>
</file>