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F165" w14:textId="0D5BC59F" w:rsidR="009C4EDF" w:rsidRPr="00340451" w:rsidRDefault="00340451" w:rsidP="003404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340451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Легкое дыхание: что предлагает пульмонологическому сегменту «ПСК </w:t>
      </w:r>
      <w:proofErr w:type="spellStart"/>
      <w:r w:rsidRPr="00340451">
        <w:rPr>
          <w:rFonts w:ascii="Times New Roman" w:hAnsi="Times New Roman" w:cs="Times New Roman"/>
          <w:b/>
          <w:bCs/>
          <w:color w:val="353535"/>
          <w:sz w:val="28"/>
          <w:szCs w:val="28"/>
        </w:rPr>
        <w:t>Фарма</w:t>
      </w:r>
      <w:proofErr w:type="spellEnd"/>
      <w:r w:rsidRPr="00340451">
        <w:rPr>
          <w:rFonts w:ascii="Times New Roman" w:hAnsi="Times New Roman" w:cs="Times New Roman"/>
          <w:b/>
          <w:bCs/>
          <w:color w:val="353535"/>
          <w:sz w:val="28"/>
          <w:szCs w:val="28"/>
        </w:rPr>
        <w:t>»</w:t>
      </w:r>
    </w:p>
    <w:p w14:paraId="2485E7F0" w14:textId="77777777" w:rsidR="00340451" w:rsidRDefault="00340451" w:rsidP="003404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14:paraId="1E18358D" w14:textId="50173021" w:rsidR="00340451" w:rsidRPr="00340451" w:rsidRDefault="00340451" w:rsidP="003404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34045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Российская биофармацевтическая компания полного цикла «ПСК </w:t>
      </w:r>
      <w:proofErr w:type="spellStart"/>
      <w:r w:rsidRPr="0034045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Фарма</w:t>
      </w:r>
      <w:proofErr w:type="spellEnd"/>
      <w:r w:rsidRPr="0034045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» уделяет пристальное внимание проведению многоэтапных испытаний своих лекарств пульмонологического профиля. Такая скрупулезность, наряду с другими факторами, позволила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резиденту ОЭЗ «Дубна»</w:t>
      </w:r>
      <w:r w:rsidRPr="0034045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стать лидером среди поставщиков ингаляционных препаратов для терапии бронхиальной астмы и хронической обструктивной болезни легких.</w:t>
      </w:r>
    </w:p>
    <w:p w14:paraId="6735F0FE" w14:textId="77777777" w:rsidR="00340451" w:rsidRDefault="00340451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</w:p>
    <w:p w14:paraId="0993089B" w14:textId="1B6B38D6" w:rsidR="00340451" w:rsidRPr="00340451" w:rsidRDefault="00340451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Заболеваемость астмой во всем мире растет, а пандемия COVID-19 побудила организаторов здравоохранения в разных странах задуматься о доступности профильной терапии. В России, с учетом складывающейся геополитической ситуации и учитывая, что бронхиальной астмой страдают 6,9% взрослых и от 10,6% до 16,9% детей и подростков, приоритетным становится формирование портфеля отечественных пульмонологических лекарств.</w:t>
      </w:r>
    </w:p>
    <w:p w14:paraId="189C0DD1" w14:textId="77777777" w:rsidR="00340451" w:rsidRDefault="00340451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</w:p>
    <w:p w14:paraId="54B3FDB8" w14:textId="12747971" w:rsidR="00340451" w:rsidRPr="00340451" w:rsidRDefault="00340451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Особое внимание пульмонологическому направлению уделяет «ПСК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Фарма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». Компания поставляет самую широкую среди российских предприятий линейку ингаляционных препаратов</w:t>
      </w:r>
      <w:r w:rsidR="00660132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. 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егодня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ее 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портфеле </w:t>
      </w:r>
      <w:r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уже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23 рег</w:t>
      </w:r>
      <w:r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истрационных 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удостоверения на препараты в </w:t>
      </w:r>
      <w:r w:rsidR="001B51F3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разных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лекарственных формах: аэрозоли для ингаляций, порошки для ингаляций, растворы и суспензии для ингаляций.</w:t>
      </w:r>
      <w:r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Еще ряд пульмонологических препаратов находится на </w:t>
      </w:r>
      <w:r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третьей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стадии клинических испытаний. В целом для вывода на рынок воспроизведенных препаратов по правилам ЕАЭС достаточно испытаний биоэквивалентности 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vitro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. Однако «ПСК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Фарма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», помимо таких лабораторных исследований, проводит испытания 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vivo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 – на людях. Разработчики убеждены, что исследований «в пробирке» для этого типа лекарств недостаточно.</w:t>
      </w:r>
    </w:p>
    <w:p w14:paraId="206251AD" w14:textId="77777777" w:rsidR="00340451" w:rsidRDefault="00340451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</w:p>
    <w:p w14:paraId="181954DC" w14:textId="0477F56D" w:rsidR="00340451" w:rsidRPr="00340451" w:rsidRDefault="00340451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В «ПСК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Фарма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» при выполнении испытаний 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vitro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 применяют многоступенчатый каскадный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импактор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– прибор, который позволяет сопоставить распределение частиц действующего вещества на отдельных ступенях в исследуемом и референтном препарате. Опция уже на этапе 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vitro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 позволяет увидеть, удовлетворяет ли исследуемый препарат критериям эквивалентности референтному лекарству: т</w:t>
      </w:r>
      <w:r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е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ли там действующее вещество и лекарственная форма, не влияют ли различия во вспомогательных веществах на эффективность и безопасность препарата. Также с помощью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импактора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разработчик доказывает, что через дозирующее устройство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ингалируется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примерно тот же объем средства, что и через устройство референтного препарата</w:t>
      </w:r>
      <w:r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,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а у препаратов – сопоставимые методы применения.</w:t>
      </w:r>
    </w:p>
    <w:p w14:paraId="22DC973D" w14:textId="77777777" w:rsidR="00340451" w:rsidRDefault="00340451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</w:p>
    <w:p w14:paraId="48922DCA" w14:textId="3434091B" w:rsidR="00340451" w:rsidRPr="00340451" w:rsidRDefault="00340451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Т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ем не менее исследователи «ПСК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Фарма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» полагают, что полученная в результате подобных испытаний информация недостаточна: на основе лабораторных данных нельзя со стопроцентной уверенностью гарантировать </w:t>
      </w:r>
      <w:r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lastRenderedPageBreak/>
        <w:t>больному астмой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, что, например, увеличение или уменьшение дозировки дженерика никак не скажется на терапевтическом эффекте.</w:t>
      </w:r>
      <w:r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Не стоит забывать, что ингаляционные препараты – это продукты с изменчивой биодоступностью, а значит, требуют доказательства биологической эффективности.</w:t>
      </w:r>
      <w:r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Поэтому еще на этапе оценки проекта и перспективы разработки пульмонологических препаратов «ПСК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Фарма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» закладывает в бюджет проведение 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vivo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 исследований (испытание на добровольцах). Во время выполнения таких испытаний соответствие воспроизведенного препарата референтному подтверждается за счет оценки их фармакокинетики и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фармакодинамики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. Сопоставляется «легочное распределение» – количество действующего вещества, поступающего в дыхательные пути, сравниваются показатели эффективности и безопасности.</w:t>
      </w:r>
    </w:p>
    <w:p w14:paraId="6559B63B" w14:textId="77777777" w:rsidR="00EE73E9" w:rsidRDefault="00EE73E9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</w:p>
    <w:p w14:paraId="2AF36A83" w14:textId="0B94C517" w:rsidR="00340451" w:rsidRPr="00340451" w:rsidRDefault="00340451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Если испытание проводится на более широкой группе добровольцев и пациентов, можно изучить в том числе соотношение эффекта и дозы, как на препарат реагируют участники с заболеваниями разной степени тяжести, как лекарство показывает себя в комбинации с другими препаратами и иные параметры. Тем самым производитель заранее получает возможность выявить, а значит, и предотвратить возможные нежелательные фармакодинамические эффекты у пациентов.</w:t>
      </w:r>
    </w:p>
    <w:p w14:paraId="44F80BFD" w14:textId="77777777" w:rsidR="00EE73E9" w:rsidRDefault="00EE73E9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</w:p>
    <w:p w14:paraId="5749EC0B" w14:textId="2BE420DD" w:rsidR="00340451" w:rsidRPr="00340451" w:rsidRDefault="00340451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Прохождение разработки этапных </w:t>
      </w:r>
      <w:r w:rsidR="00EE73E9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(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vitro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и 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0451">
        <w:rPr>
          <w:rFonts w:ascii="Times New Roman" w:eastAsia="Times New Roman" w:hAnsi="Times New Roman" w:cs="Times New Roman"/>
          <w:i/>
          <w:iCs/>
          <w:color w:val="3E4244"/>
          <w:spacing w:val="-5"/>
          <w:sz w:val="28"/>
          <w:szCs w:val="28"/>
          <w:bdr w:val="none" w:sz="0" w:space="0" w:color="auto" w:frame="1"/>
          <w:lang w:eastAsia="ru-RU"/>
        </w:rPr>
        <w:t>vivo</w:t>
      </w:r>
      <w:proofErr w:type="spellEnd"/>
      <w:r w:rsidR="00EE73E9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)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исследований важно как для </w:t>
      </w:r>
      <w:r w:rsidR="00EE73E9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уверенности 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потребителя</w:t>
      </w:r>
      <w:r w:rsidR="00EE73E9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в том</w:t>
      </w: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, что приобретенный продукт точно поможет, так и для регулятора, для которого клинические исследования – оптимальное, наиболее убедительное доказательство биологической эффективности. Именно такую модель исследований выбирает для своей профильной продукции «ПСК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Фарма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», по данным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Headway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Company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, ставшая на рынке госзаказа в период с января 2022 года по январь 2023 года лидером среди поставщиков препаратов для терапии астмы и ХОБЛ. В этом сегменте «ПСК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Фарма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» значительно обогнала зарубежные компании и заняла почти 21% рынка в натуральном выражении.</w:t>
      </w:r>
    </w:p>
    <w:p w14:paraId="0D076FAF" w14:textId="77777777" w:rsidR="00EE73E9" w:rsidRDefault="00EE73E9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</w:p>
    <w:p w14:paraId="49F154A3" w14:textId="69CD88D6" w:rsidR="00340451" w:rsidRPr="00340451" w:rsidRDefault="00340451" w:rsidP="00340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</w:pPr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 xml:space="preserve">Компания работает не только над воспроизведенными препаратами, но и готовит к выводу на рынок собственные разработки. В ближайшее время «ПСК </w:t>
      </w:r>
      <w:proofErr w:type="spellStart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Фарма</w:t>
      </w:r>
      <w:proofErr w:type="spellEnd"/>
      <w:r w:rsidRPr="00340451">
        <w:rPr>
          <w:rFonts w:ascii="Times New Roman" w:eastAsia="Times New Roman" w:hAnsi="Times New Roman" w:cs="Times New Roman"/>
          <w:color w:val="3E4244"/>
          <w:spacing w:val="-5"/>
          <w:sz w:val="28"/>
          <w:szCs w:val="28"/>
          <w:lang w:eastAsia="ru-RU"/>
        </w:rPr>
        <w:t>» планирует начать клинические исследования трех инновационных лекарств, два из которых предназначены для терапии бронхиальной астмы. Первый – тройная комбинация для лечения пациентов с тяжелой формой заболевания. Этот препарат, утверждают в компании, не имеет аналогов не только в России, но и в мире. Еще одна разработка, близкая к стадии клинических исследований, предназначена для лечения бронхиальной астмы у детей. Третья молекула – кортикостероид нового поколения.</w:t>
      </w:r>
    </w:p>
    <w:p w14:paraId="14B92C79" w14:textId="77777777" w:rsidR="00340451" w:rsidRDefault="00340451"/>
    <w:sectPr w:rsidR="0034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08"/>
    <w:rsid w:val="00052308"/>
    <w:rsid w:val="001B51F3"/>
    <w:rsid w:val="00340451"/>
    <w:rsid w:val="00660132"/>
    <w:rsid w:val="009C4EDF"/>
    <w:rsid w:val="00E15255"/>
    <w:rsid w:val="00E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2240"/>
  <w15:chartTrackingRefBased/>
  <w15:docId w15:val="{4E7F2552-09C0-4367-B4C7-34176DFD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Владимировна</dc:creator>
  <cp:keywords/>
  <dc:description/>
  <cp:lastModifiedBy>Жукова Светлана Владимировна</cp:lastModifiedBy>
  <cp:revision>7</cp:revision>
  <dcterms:created xsi:type="dcterms:W3CDTF">2023-03-21T10:45:00Z</dcterms:created>
  <dcterms:modified xsi:type="dcterms:W3CDTF">2023-03-21T11:39:00Z</dcterms:modified>
</cp:coreProperties>
</file>